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E4" w:rsidRPr="005A1404" w:rsidRDefault="00FF3CEA" w:rsidP="007A64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A140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A64D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«Кәсіби бағытталған шет</w:t>
      </w:r>
      <w:r w:rsidR="006009E4" w:rsidRPr="005A140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тілі»</w:t>
      </w:r>
      <w:r w:rsidR="00E0790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8B41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француз</w:t>
      </w:r>
      <w:r w:rsidR="00E0790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тілі)</w:t>
      </w:r>
    </w:p>
    <w:p w:rsidR="00AE411C" w:rsidRPr="005A1404" w:rsidRDefault="00AE411C" w:rsidP="00AE4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14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5A14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AE411C" w:rsidRPr="005A1404" w:rsidRDefault="006009E4" w:rsidP="00AE41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A1404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AE411C" w:rsidRPr="005A1404" w:rsidRDefault="001C0CCE" w:rsidP="00AE411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5A1404">
        <w:rPr>
          <w:rFonts w:ascii="Times New Roman" w:hAnsi="Times New Roman" w:cs="Times New Roman"/>
          <w:sz w:val="20"/>
          <w:szCs w:val="20"/>
          <w:lang w:val="kk-KZ"/>
        </w:rPr>
        <w:t>(202</w:t>
      </w:r>
      <w:r w:rsidR="007A64D8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AE411C" w:rsidRPr="005A1404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:rsidR="00AE411C" w:rsidRPr="005A1404" w:rsidRDefault="00AE411C" w:rsidP="00FA362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3D0679" w:rsidRPr="005A1404" w:rsidRDefault="003D0679" w:rsidP="003D06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A14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5A14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3D0679" w:rsidRPr="005A1404" w:rsidRDefault="003D0679" w:rsidP="003D06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5A1404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5A14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5A1404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5A14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5A1404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3D0679" w:rsidRPr="005A1404" w:rsidRDefault="0084567D" w:rsidP="003D06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M019</w:t>
      </w:r>
      <w:r w:rsidR="007A64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Шет</w:t>
      </w:r>
      <w:r w:rsidR="003D0679" w:rsidRPr="005A14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</w:t>
      </w:r>
      <w:r w:rsidR="007A64D8">
        <w:rPr>
          <w:rFonts w:ascii="Times New Roman" w:hAnsi="Times New Roman" w:cs="Times New Roman"/>
          <w:b/>
          <w:sz w:val="28"/>
          <w:szCs w:val="28"/>
          <w:lang w:val="kk-KZ"/>
        </w:rPr>
        <w:t>дер</w:t>
      </w:r>
      <w:r w:rsidR="003D0679" w:rsidRPr="005A14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7A64D8">
        <w:rPr>
          <w:rFonts w:ascii="Times New Roman" w:hAnsi="Times New Roman" w:cs="Times New Roman"/>
          <w:b/>
          <w:sz w:val="28"/>
          <w:szCs w:val="28"/>
          <w:lang w:val="kk-KZ"/>
        </w:rPr>
        <w:t>педагогтері</w:t>
      </w:r>
      <w:r w:rsidR="00B01B0A" w:rsidRPr="005A1404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3D0679" w:rsidRPr="005A14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даярлау </w:t>
      </w:r>
    </w:p>
    <w:p w:rsidR="003D0679" w:rsidRPr="005A1404" w:rsidRDefault="008421B6" w:rsidP="008421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5A140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="003D0679" w:rsidRPr="005A140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Шифр          </w:t>
      </w:r>
      <w:r w:rsidRPr="005A140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</w:t>
      </w:r>
      <w:r w:rsidR="003D0679" w:rsidRPr="005A140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білім беру бағдармалар тобы</w:t>
      </w:r>
    </w:p>
    <w:p w:rsidR="00FF357B" w:rsidRPr="005A1404" w:rsidRDefault="003D0679" w:rsidP="003D0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A1404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5A1404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3D0679" w:rsidRPr="005A1404" w:rsidRDefault="007A64D8" w:rsidP="003D0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 «Кәсіби бағытталған шет</w:t>
      </w:r>
      <w:r w:rsidR="003D0679"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тілі» пәнінің типтік оқу жоспарына сәйкес келесі тақырыптар бойынша оқу материалын қамтиды:</w:t>
      </w:r>
    </w:p>
    <w:tbl>
      <w:tblPr>
        <w:tblpPr w:leftFromText="180" w:rightFromText="180" w:vertAnchor="text" w:horzAnchor="margin" w:tblpX="-252" w:tblpY="171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871"/>
        <w:gridCol w:w="480"/>
        <w:gridCol w:w="4665"/>
        <w:gridCol w:w="1260"/>
        <w:gridCol w:w="1058"/>
      </w:tblGrid>
      <w:tr w:rsidR="005A1404" w:rsidRPr="005A1404" w:rsidTr="00DD3C61">
        <w:trPr>
          <w:trHeight w:val="575"/>
        </w:trPr>
        <w:tc>
          <w:tcPr>
            <w:tcW w:w="578" w:type="dxa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40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71" w:type="dxa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480" w:type="dxa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40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Тақырыпшалар</w:t>
            </w:r>
          </w:p>
        </w:tc>
        <w:tc>
          <w:tcPr>
            <w:tcW w:w="1260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b/>
                <w:sz w:val="24"/>
                <w:szCs w:val="24"/>
              </w:rPr>
              <w:t>Қиындық</w:t>
            </w:r>
            <w:proofErr w:type="spellEnd"/>
            <w:r w:rsidRPr="005A14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b/>
                <w:sz w:val="24"/>
                <w:szCs w:val="24"/>
              </w:rPr>
              <w:t>деңгейі</w:t>
            </w:r>
            <w:proofErr w:type="spellEnd"/>
            <w:r w:rsidRPr="005A14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b/>
                <w:sz w:val="24"/>
                <w:szCs w:val="24"/>
              </w:rPr>
              <w:t>Тапсырмалар</w:t>
            </w:r>
            <w:proofErr w:type="spellEnd"/>
            <w:r w:rsidRPr="005A1404">
              <w:rPr>
                <w:rFonts w:ascii="Times New Roman" w:hAnsi="Times New Roman"/>
                <w:b/>
                <w:sz w:val="24"/>
                <w:szCs w:val="24"/>
              </w:rPr>
              <w:t xml:space="preserve"> саны</w:t>
            </w: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әлемде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бала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тұлғасының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Баланың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тұлғасын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алыптастыру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әсер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ететін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факторлар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 Мотивация.</w:t>
            </w:r>
          </w:p>
        </w:tc>
        <w:tc>
          <w:tcPr>
            <w:tcW w:w="1260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А-2, В-1, С-1</w:t>
            </w:r>
          </w:p>
        </w:tc>
        <w:tc>
          <w:tcPr>
            <w:tcW w:w="1058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5A1404" w:rsidRPr="005A1404" w:rsidTr="00DD3C61">
        <w:trPr>
          <w:trHeight w:val="393"/>
        </w:trPr>
        <w:tc>
          <w:tcPr>
            <w:tcW w:w="57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қоғамдағы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балалар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жасөспі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імдер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жастардың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жағдайы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дамуының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өзекті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мәселелері</w:t>
            </w:r>
            <w:proofErr w:type="spellEnd"/>
          </w:p>
        </w:tc>
        <w:tc>
          <w:tcPr>
            <w:tcW w:w="1260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292"/>
        </w:trPr>
        <w:tc>
          <w:tcPr>
            <w:tcW w:w="57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 xml:space="preserve">Жеке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тұлға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қоғамның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шығармашылық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әлеуетін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перспективалары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қоғамның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құндылықтары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Көрнекті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тұлғалар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363"/>
        </w:trPr>
        <w:tc>
          <w:tcPr>
            <w:tcW w:w="578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қоғамның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жаһандық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сы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spellStart"/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қатерлері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адам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құқықтарын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қорғау</w:t>
            </w:r>
            <w:proofErr w:type="spellEnd"/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Жаһандық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жағдайындағы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берудің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өлі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А-1, В-3, С-1</w:t>
            </w:r>
          </w:p>
        </w:tc>
        <w:tc>
          <w:tcPr>
            <w:tcW w:w="1058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A1404" w:rsidRPr="005A1404" w:rsidTr="00DD3C61">
        <w:trPr>
          <w:trHeight w:val="345"/>
        </w:trPr>
        <w:tc>
          <w:tcPr>
            <w:tcW w:w="57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қоғамның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жаһандық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сы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spellStart"/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қатерлері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мысалы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көші-қон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қалалардың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өсуі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т.б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.). Экология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қоршаған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орта.</w:t>
            </w:r>
          </w:p>
        </w:tc>
        <w:tc>
          <w:tcPr>
            <w:tcW w:w="1260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355"/>
        </w:trPr>
        <w:tc>
          <w:tcPr>
            <w:tcW w:w="57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 xml:space="preserve">Адам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құқығын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қорғау</w:t>
            </w:r>
            <w:proofErr w:type="spellEnd"/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емдегі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заманауи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ұйымдар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(БҰҰ, UNICEF)</w:t>
            </w:r>
          </w:p>
        </w:tc>
        <w:tc>
          <w:tcPr>
            <w:tcW w:w="1260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Әлемдегі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Республикасындағы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дамуының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тенденциялары</w:t>
            </w:r>
            <w:proofErr w:type="spellEnd"/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Мамандық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таңдау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І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с-т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әжірибе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Жұ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мыс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қа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орналастыру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Бизнес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мансап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А-2, В-2, С-1</w:t>
            </w:r>
          </w:p>
        </w:tc>
        <w:tc>
          <w:tcPr>
            <w:tcW w:w="1058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ынтымақтастық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академиялық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ұтқырлық</w:t>
            </w:r>
            <w:proofErr w:type="spellEnd"/>
          </w:p>
        </w:tc>
        <w:tc>
          <w:tcPr>
            <w:tcW w:w="1260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ғылым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өнді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істің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интеграциясы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іктірілген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пәндер</w:t>
            </w:r>
            <w:proofErr w:type="spellEnd"/>
          </w:p>
        </w:tc>
        <w:tc>
          <w:tcPr>
            <w:tcW w:w="1260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Мәдениет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әлем</w:t>
            </w:r>
            <w:proofErr w:type="spellEnd"/>
          </w:p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Мәдениетаралық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коммуникация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Мәдениет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диалогы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Тілдерді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үйрену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А-1, В-1, С-1</w:t>
            </w:r>
          </w:p>
        </w:tc>
        <w:tc>
          <w:tcPr>
            <w:tcW w:w="1058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Оқытылатын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тіл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елдерінің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әде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ғұрыптары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Дә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үрлі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құндылықтар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Бұқ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аралы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ақпарат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құралдары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lastRenderedPageBreak/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түрлері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Коммуникация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құралдары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В-1, С-2</w:t>
            </w:r>
          </w:p>
        </w:tc>
        <w:tc>
          <w:tcPr>
            <w:tcW w:w="1058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lastRenderedPageBreak/>
              <w:t>ресурстары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қоғамдағы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технологиялардың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өлі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E8" w:rsidRPr="005A1404" w:rsidTr="002E53AA">
        <w:trPr>
          <w:trHeight w:val="315"/>
        </w:trPr>
        <w:tc>
          <w:tcPr>
            <w:tcW w:w="7594" w:type="dxa"/>
            <w:gridSpan w:val="4"/>
            <w:vAlign w:val="center"/>
          </w:tcPr>
          <w:p w:rsidR="005972E8" w:rsidRPr="005A1404" w:rsidRDefault="005972E8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318" w:type="dxa"/>
            <w:gridSpan w:val="2"/>
          </w:tcPr>
          <w:p w:rsidR="005972E8" w:rsidRPr="005972E8" w:rsidRDefault="005972E8" w:rsidP="005972E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r w:rsidRPr="005972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bookmarkEnd w:id="0"/>
          </w:p>
        </w:tc>
      </w:tr>
    </w:tbl>
    <w:p w:rsidR="008421B6" w:rsidRPr="005A1404" w:rsidRDefault="008421B6" w:rsidP="00FA3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3620" w:rsidRPr="005A1404" w:rsidRDefault="00D31D8E" w:rsidP="00FA36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A140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5A1404">
        <w:rPr>
          <w:rFonts w:ascii="Times New Roman" w:hAnsi="Times New Roman" w:cs="Times New Roman"/>
          <w:b/>
          <w:bCs/>
          <w:sz w:val="28"/>
          <w:szCs w:val="28"/>
        </w:rPr>
        <w:t>Тапсырма</w:t>
      </w:r>
      <w:proofErr w:type="spellEnd"/>
      <w:r w:rsidRPr="005A1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b/>
          <w:bCs/>
          <w:sz w:val="28"/>
          <w:szCs w:val="28"/>
        </w:rPr>
        <w:t>мазмұнының</w:t>
      </w:r>
      <w:proofErr w:type="spellEnd"/>
      <w:r w:rsidRPr="005A1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b/>
          <w:bCs/>
          <w:sz w:val="28"/>
          <w:szCs w:val="28"/>
        </w:rPr>
        <w:t>сипаттамасы</w:t>
      </w:r>
      <w:proofErr w:type="spellEnd"/>
      <w:r w:rsidRPr="005A14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5B6C" w:rsidRPr="005A1404" w:rsidRDefault="00535B6C" w:rsidP="00AB7CB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40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Кәсіби бағытталған шетел тілі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F72" w:rsidRPr="005A1404">
        <w:rPr>
          <w:rFonts w:ascii="Times New Roman" w:hAnsi="Times New Roman" w:cs="Times New Roman"/>
          <w:sz w:val="28"/>
          <w:szCs w:val="28"/>
          <w:lang w:val="kk-KZ"/>
        </w:rPr>
        <w:t>пәні бойынша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тест тапсырмаларының мазмұны типтік оқу </w:t>
      </w:r>
      <w:r w:rsidR="00EB39A4" w:rsidRPr="005A1404">
        <w:rPr>
          <w:rFonts w:ascii="Times New Roman" w:hAnsi="Times New Roman" w:cs="Times New Roman"/>
          <w:sz w:val="28"/>
          <w:szCs w:val="28"/>
          <w:lang w:val="kk-KZ"/>
        </w:rPr>
        <w:t>бағдарламасына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жəне C1 тіл</w:t>
      </w:r>
      <w:r w:rsidR="00EA7AAE" w:rsidRPr="005A1404">
        <w:rPr>
          <w:rFonts w:ascii="Times New Roman" w:hAnsi="Times New Roman" w:cs="Times New Roman"/>
          <w:sz w:val="28"/>
          <w:szCs w:val="28"/>
          <w:lang w:val="kk-KZ"/>
        </w:rPr>
        <w:t>дік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білім деңгейінің</w:t>
      </w:r>
      <w:r w:rsidR="00EB39A4"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(IV ұлттық стандарт)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талаптарына сай. Тест тапсырмалары «</w:t>
      </w:r>
      <w:r w:rsidR="00B01B0A" w:rsidRPr="002461B5">
        <w:rPr>
          <w:rFonts w:ascii="Times New Roman" w:hAnsi="Times New Roman" w:cs="Times New Roman"/>
          <w:sz w:val="28"/>
          <w:szCs w:val="28"/>
          <w:lang w:val="kk-KZ"/>
        </w:rPr>
        <w:t>M01</w:t>
      </w:r>
      <w:r w:rsidR="00971AA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7A64D8">
        <w:rPr>
          <w:rFonts w:ascii="Times New Roman" w:hAnsi="Times New Roman" w:cs="Times New Roman"/>
          <w:sz w:val="28"/>
          <w:szCs w:val="28"/>
          <w:lang w:val="kk-KZ"/>
        </w:rPr>
        <w:t xml:space="preserve"> Шет</w:t>
      </w:r>
      <w:r w:rsidR="00B01B0A" w:rsidRPr="002461B5">
        <w:rPr>
          <w:rFonts w:ascii="Times New Roman" w:hAnsi="Times New Roman" w:cs="Times New Roman"/>
          <w:sz w:val="28"/>
          <w:szCs w:val="28"/>
          <w:lang w:val="kk-KZ"/>
        </w:rPr>
        <w:t xml:space="preserve"> тіл</w:t>
      </w:r>
      <w:r w:rsidR="007A64D8">
        <w:rPr>
          <w:rFonts w:ascii="Times New Roman" w:hAnsi="Times New Roman" w:cs="Times New Roman"/>
          <w:sz w:val="28"/>
          <w:szCs w:val="28"/>
          <w:lang w:val="kk-KZ"/>
        </w:rPr>
        <w:t>дері педагогтері</w:t>
      </w:r>
      <w:r w:rsidR="00B01B0A" w:rsidRPr="002461B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2461B5">
        <w:rPr>
          <w:rFonts w:ascii="Times New Roman" w:hAnsi="Times New Roman" w:cs="Times New Roman"/>
          <w:sz w:val="28"/>
          <w:szCs w:val="28"/>
          <w:lang w:val="kk-KZ"/>
        </w:rPr>
        <w:t xml:space="preserve"> даярлау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» білім беру бағдарламалары тобы бойынша магистратураға </w:t>
      </w:r>
      <w:r w:rsidR="009E097E" w:rsidRPr="005A1404">
        <w:rPr>
          <w:rFonts w:ascii="Times New Roman" w:hAnsi="Times New Roman" w:cs="Times New Roman"/>
          <w:sz w:val="28"/>
          <w:szCs w:val="28"/>
          <w:lang w:val="kk-KZ"/>
        </w:rPr>
        <w:t>түсетін талапкерлердің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кәсіби-коммуникативтік құзыреттілікт</w:t>
      </w:r>
      <w:r w:rsidR="006F5F72" w:rsidRPr="005A1404">
        <w:rPr>
          <w:rFonts w:ascii="Times New Roman" w:hAnsi="Times New Roman" w:cs="Times New Roman"/>
          <w:sz w:val="28"/>
          <w:szCs w:val="28"/>
          <w:lang w:val="kk-KZ"/>
        </w:rPr>
        <w:t>ерін</w:t>
      </w:r>
      <w:r w:rsidR="003408F0" w:rsidRPr="005A1404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08F0" w:rsidRPr="005A1404">
        <w:rPr>
          <w:rFonts w:ascii="Times New Roman" w:hAnsi="Times New Roman" w:cs="Times New Roman"/>
          <w:sz w:val="28"/>
          <w:szCs w:val="28"/>
          <w:lang w:val="kk-KZ"/>
        </w:rPr>
        <w:t>қалыптасуын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тексеруге арналған.</w:t>
      </w:r>
      <w:r w:rsidR="003408F0"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F2F17" w:rsidRPr="005A1404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5A14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FF2F17" w:rsidRPr="005A1404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404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:rsidR="00FF2F17" w:rsidRPr="005A1404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404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орындалуының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1404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5A1404">
        <w:rPr>
          <w:rFonts w:ascii="Times New Roman" w:hAnsi="Times New Roman" w:cs="Times New Roman"/>
          <w:sz w:val="28"/>
          <w:szCs w:val="28"/>
        </w:rPr>
        <w:t>қыты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– 50 минут.</w:t>
      </w:r>
    </w:p>
    <w:p w:rsidR="00FF2F17" w:rsidRPr="005A1404" w:rsidRDefault="00FF2F17" w:rsidP="00FF2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404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5A1404">
        <w:rPr>
          <w:rFonts w:ascii="Times New Roman" w:hAnsi="Times New Roman" w:cs="Times New Roman"/>
          <w:b/>
          <w:sz w:val="28"/>
          <w:szCs w:val="28"/>
        </w:rPr>
        <w:t>Тест</w:t>
      </w:r>
      <w:proofErr w:type="gramStart"/>
      <w:r w:rsidRPr="005A1404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5A1404">
        <w:rPr>
          <w:rFonts w:ascii="Times New Roman" w:hAnsi="Times New Roman" w:cs="Times New Roman"/>
          <w:b/>
          <w:sz w:val="28"/>
          <w:szCs w:val="28"/>
        </w:rPr>
        <w:t>нiң</w:t>
      </w:r>
      <w:proofErr w:type="spellEnd"/>
      <w:r w:rsidRPr="005A14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b/>
          <w:sz w:val="28"/>
          <w:szCs w:val="28"/>
        </w:rPr>
        <w:t>бiр</w:t>
      </w:r>
      <w:proofErr w:type="spellEnd"/>
      <w:r w:rsidRPr="005A14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b/>
          <w:sz w:val="28"/>
          <w:szCs w:val="28"/>
        </w:rPr>
        <w:t>нұсқасындағы</w:t>
      </w:r>
      <w:proofErr w:type="spellEnd"/>
      <w:r w:rsidRPr="005A14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 w:rsidRPr="005A1404">
        <w:rPr>
          <w:rFonts w:ascii="Times New Roman" w:hAnsi="Times New Roman" w:cs="Times New Roman"/>
          <w:b/>
          <w:sz w:val="28"/>
          <w:szCs w:val="28"/>
        </w:rPr>
        <w:t xml:space="preserve"> саны:</w:t>
      </w:r>
    </w:p>
    <w:p w:rsidR="00FF2F17" w:rsidRPr="005A1404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Тестінің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A140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нұсқасында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– 20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>.</w:t>
      </w:r>
    </w:p>
    <w:p w:rsidR="00FF2F17" w:rsidRPr="005A1404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404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тапсырмаларының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5A140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A1404">
        <w:rPr>
          <w:rFonts w:ascii="Times New Roman" w:hAnsi="Times New Roman" w:cs="Times New Roman"/>
          <w:sz w:val="28"/>
          <w:szCs w:val="28"/>
        </w:rPr>
        <w:t>інуі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>:</w:t>
      </w:r>
    </w:p>
    <w:p w:rsidR="00FF2F17" w:rsidRPr="005A1404" w:rsidRDefault="00FF2F17" w:rsidP="00FF2F17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жеңі</w:t>
      </w:r>
      <w:proofErr w:type="gramStart"/>
      <w:r w:rsidRPr="005A1404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5A1404">
        <w:rPr>
          <w:rFonts w:ascii="Times New Roman" w:hAnsi="Times New Roman" w:cs="Times New Roman"/>
          <w:sz w:val="28"/>
          <w:szCs w:val="28"/>
        </w:rPr>
        <w:t xml:space="preserve"> (A) – 6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(30%);</w:t>
      </w:r>
    </w:p>
    <w:p w:rsidR="00FF2F17" w:rsidRPr="005A1404" w:rsidRDefault="00FF2F17" w:rsidP="00FF2F17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(B) – 8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(40%);</w:t>
      </w:r>
    </w:p>
    <w:p w:rsidR="00FF2F17" w:rsidRPr="005A1404" w:rsidRDefault="00FF2F17" w:rsidP="00FF2F17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A1404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(C) – 6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(30%).</w:t>
      </w:r>
    </w:p>
    <w:p w:rsidR="00FF2F17" w:rsidRPr="005A1404" w:rsidRDefault="00FF2F17" w:rsidP="00FF2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404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5A1404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5A14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5A1404">
        <w:rPr>
          <w:rFonts w:ascii="Times New Roman" w:hAnsi="Times New Roman" w:cs="Times New Roman"/>
          <w:b/>
          <w:sz w:val="28"/>
          <w:szCs w:val="28"/>
        </w:rPr>
        <w:t>:</w:t>
      </w:r>
    </w:p>
    <w:p w:rsidR="00FF2F17" w:rsidRPr="005A1404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404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нұсқасының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A140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>.</w:t>
      </w:r>
    </w:p>
    <w:p w:rsidR="00FF2F17" w:rsidRPr="005A1404" w:rsidRDefault="00FF2F17" w:rsidP="00FF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1404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proofErr w:type="spellStart"/>
      <w:r w:rsidRPr="005A1404">
        <w:rPr>
          <w:rFonts w:ascii="Times New Roman" w:eastAsia="Calibri" w:hAnsi="Times New Roman" w:cs="Times New Roman"/>
          <w:b/>
          <w:sz w:val="28"/>
          <w:szCs w:val="28"/>
        </w:rPr>
        <w:t>Тапсырманың</w:t>
      </w:r>
      <w:proofErr w:type="spellEnd"/>
      <w:r w:rsidRPr="005A14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A1404">
        <w:rPr>
          <w:rFonts w:ascii="Times New Roman" w:eastAsia="Calibri" w:hAnsi="Times New Roman" w:cs="Times New Roman"/>
          <w:b/>
          <w:sz w:val="28"/>
          <w:szCs w:val="28"/>
        </w:rPr>
        <w:t>орындалуын</w:t>
      </w:r>
      <w:proofErr w:type="spellEnd"/>
      <w:r w:rsidRPr="005A14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A1404">
        <w:rPr>
          <w:rFonts w:ascii="Times New Roman" w:eastAsia="Calibri" w:hAnsi="Times New Roman" w:cs="Times New Roman"/>
          <w:b/>
          <w:sz w:val="28"/>
          <w:szCs w:val="28"/>
        </w:rPr>
        <w:t>ба</w:t>
      </w:r>
      <w:proofErr w:type="gramEnd"/>
      <w:r w:rsidRPr="005A1404">
        <w:rPr>
          <w:rFonts w:ascii="Times New Roman" w:eastAsia="Calibri" w:hAnsi="Times New Roman" w:cs="Times New Roman"/>
          <w:b/>
          <w:sz w:val="28"/>
          <w:szCs w:val="28"/>
        </w:rPr>
        <w:t>ғалау</w:t>
      </w:r>
      <w:proofErr w:type="spellEnd"/>
      <w:r w:rsidRPr="005A140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91A8B" w:rsidRPr="005A1404" w:rsidRDefault="00891A8B" w:rsidP="00891A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1404">
        <w:rPr>
          <w:rFonts w:ascii="Times New Roman" w:eastAsia="Calibri" w:hAnsi="Times New Roman" w:cs="Times New Roman"/>
          <w:sz w:val="28"/>
          <w:szCs w:val="28"/>
          <w:lang w:val="kk-KZ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:rsidR="00FF2F17" w:rsidRPr="005A1404" w:rsidRDefault="00FF2F17" w:rsidP="004C3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4C96">
        <w:rPr>
          <w:rFonts w:ascii="Times New Roman" w:hAnsi="Times New Roman" w:cs="Times New Roman"/>
          <w:b/>
          <w:sz w:val="28"/>
          <w:szCs w:val="28"/>
          <w:lang w:val="kk-KZ"/>
        </w:rPr>
        <w:t>9. Ұсынылатын әдебиеттер тізімі:</w:t>
      </w:r>
    </w:p>
    <w:p w:rsidR="00A3142E" w:rsidRPr="00765451" w:rsidRDefault="00A3142E" w:rsidP="005E06B0">
      <w:pPr>
        <w:pStyle w:val="a6"/>
        <w:jc w:val="both"/>
        <w:rPr>
          <w:rFonts w:ascii="Times New Roman" w:hAnsi="Times New Roman"/>
          <w:sz w:val="28"/>
          <w:szCs w:val="28"/>
          <w:lang w:val="fr-FR"/>
        </w:rPr>
      </w:pPr>
      <w:r w:rsidRPr="00765451">
        <w:rPr>
          <w:rFonts w:ascii="Times New Roman" w:hAnsi="Times New Roman"/>
          <w:sz w:val="28"/>
          <w:szCs w:val="28"/>
          <w:lang w:val="fr-FR"/>
        </w:rPr>
        <w:t>1.</w:t>
      </w:r>
      <w:r w:rsidRPr="00E044C3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6" w:history="1">
        <w:r w:rsidRPr="00765451">
          <w:rPr>
            <w:rFonts w:ascii="Times New Roman" w:hAnsi="Times New Roman"/>
            <w:sz w:val="28"/>
            <w:szCs w:val="28"/>
            <w:lang w:val="fr-FR"/>
          </w:rPr>
          <w:t>Christine Andant</w:t>
        </w:r>
      </w:hyperlink>
      <w:r w:rsidRPr="00765451">
        <w:rPr>
          <w:rFonts w:ascii="Times New Roman" w:hAnsi="Times New Roman"/>
          <w:sz w:val="28"/>
          <w:szCs w:val="28"/>
          <w:lang w:val="fr-FR"/>
        </w:rPr>
        <w:t xml:space="preserve">, </w:t>
      </w:r>
      <w:hyperlink r:id="rId7" w:history="1">
        <w:r w:rsidRPr="00765451">
          <w:rPr>
            <w:rFonts w:ascii="Times New Roman" w:hAnsi="Times New Roman"/>
            <w:sz w:val="28"/>
            <w:szCs w:val="28"/>
            <w:lang w:val="fr-FR"/>
          </w:rPr>
          <w:t>Marie-Laure Chalaron</w:t>
        </w:r>
      </w:hyperlink>
      <w:r w:rsidRPr="00765451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65451">
        <w:rPr>
          <w:rFonts w:ascii="Times New Roman" w:hAnsi="Times New Roman"/>
          <w:bCs/>
          <w:kern w:val="36"/>
          <w:sz w:val="28"/>
          <w:szCs w:val="28"/>
          <w:lang w:val="fr-FR"/>
        </w:rPr>
        <w:t>À propos, niveaux B1-B2</w:t>
      </w:r>
      <w:r w:rsidRPr="00765451">
        <w:rPr>
          <w:rFonts w:ascii="Times New Roman" w:hAnsi="Times New Roman"/>
          <w:sz w:val="28"/>
          <w:szCs w:val="28"/>
          <w:lang w:val="fr-FR"/>
        </w:rPr>
        <w:t xml:space="preserve"> Hachette FLE, 2014 </w:t>
      </w:r>
    </w:p>
    <w:p w:rsidR="00A3142E" w:rsidRPr="00765451" w:rsidRDefault="00A3142E" w:rsidP="005E06B0">
      <w:pPr>
        <w:pStyle w:val="a6"/>
        <w:jc w:val="both"/>
        <w:rPr>
          <w:rFonts w:ascii="Times New Roman" w:hAnsi="Times New Roman"/>
          <w:sz w:val="28"/>
          <w:szCs w:val="28"/>
          <w:lang w:val="fr-FR"/>
        </w:rPr>
      </w:pPr>
      <w:r w:rsidRPr="00E64DC2">
        <w:rPr>
          <w:rFonts w:ascii="Times New Roman" w:hAnsi="Times New Roman"/>
          <w:sz w:val="28"/>
          <w:szCs w:val="28"/>
          <w:lang w:val="fr-FR"/>
        </w:rPr>
        <w:t>2.</w:t>
      </w:r>
      <w:r w:rsidRPr="00A3142E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65451">
        <w:rPr>
          <w:rFonts w:ascii="Times New Roman" w:hAnsi="Times New Roman"/>
          <w:sz w:val="28"/>
          <w:szCs w:val="28"/>
          <w:lang w:val="fr-FR"/>
        </w:rPr>
        <w:t xml:space="preserve">Dollez C., Pons S. </w:t>
      </w:r>
      <w:r w:rsidRPr="00765451">
        <w:rPr>
          <w:rFonts w:ascii="Times New Roman" w:hAnsi="Times New Roman"/>
          <w:bCs/>
          <w:sz w:val="28"/>
          <w:szCs w:val="28"/>
          <w:lang w:val="fr-FR"/>
        </w:rPr>
        <w:t xml:space="preserve">Alter ego 3 </w:t>
      </w:r>
      <w:r w:rsidRPr="00765451">
        <w:rPr>
          <w:rFonts w:ascii="Times New Roman" w:hAnsi="Times New Roman"/>
          <w:sz w:val="28"/>
          <w:szCs w:val="28"/>
          <w:lang w:val="fr-FR"/>
        </w:rPr>
        <w:t>Hachette FLE, 2007</w:t>
      </w:r>
    </w:p>
    <w:p w:rsidR="00A3142E" w:rsidRPr="00CB336B" w:rsidRDefault="00A3142E" w:rsidP="005E06B0">
      <w:pPr>
        <w:pStyle w:val="a6"/>
        <w:jc w:val="both"/>
        <w:rPr>
          <w:rFonts w:ascii="Times New Roman" w:hAnsi="Times New Roman"/>
          <w:sz w:val="28"/>
          <w:szCs w:val="28"/>
          <w:lang w:val="fr-FR"/>
        </w:rPr>
      </w:pPr>
      <w:r w:rsidRPr="00765451">
        <w:rPr>
          <w:rFonts w:ascii="Times New Roman" w:hAnsi="Times New Roman"/>
          <w:sz w:val="28"/>
          <w:szCs w:val="28"/>
          <w:lang w:val="fr-FR"/>
        </w:rPr>
        <w:t>3.</w:t>
      </w:r>
      <w:r w:rsidRPr="00A3142E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65451">
        <w:rPr>
          <w:rFonts w:ascii="Times New Roman" w:hAnsi="Times New Roman"/>
          <w:sz w:val="28"/>
          <w:szCs w:val="28"/>
          <w:lang w:val="fr-FR"/>
        </w:rPr>
        <w:t xml:space="preserve">Dollez C., Pons S. </w:t>
      </w:r>
      <w:r w:rsidRPr="00765451">
        <w:rPr>
          <w:rFonts w:ascii="Times New Roman" w:hAnsi="Times New Roman"/>
          <w:bCs/>
          <w:sz w:val="28"/>
          <w:szCs w:val="28"/>
          <w:lang w:val="fr-FR"/>
        </w:rPr>
        <w:t xml:space="preserve">Alter ego 4 </w:t>
      </w:r>
      <w:r w:rsidRPr="00765451">
        <w:rPr>
          <w:rFonts w:ascii="Times New Roman" w:hAnsi="Times New Roman"/>
          <w:sz w:val="28"/>
          <w:szCs w:val="28"/>
          <w:lang w:val="fr-FR"/>
        </w:rPr>
        <w:t>Hachette FLE, 2007</w:t>
      </w:r>
    </w:p>
    <w:p w:rsidR="00A3142E" w:rsidRPr="00CB336B" w:rsidRDefault="00A3142E" w:rsidP="005E06B0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031782">
        <w:rPr>
          <w:rFonts w:ascii="Times New Roman" w:hAnsi="Times New Roman"/>
          <w:sz w:val="28"/>
          <w:szCs w:val="28"/>
          <w:lang w:val="fr-FR"/>
        </w:rPr>
        <w:t>4.</w:t>
      </w:r>
      <w:r w:rsidRPr="00E044C3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031782">
        <w:rPr>
          <w:rFonts w:ascii="Times New Roman" w:hAnsi="Times New Roman"/>
          <w:sz w:val="28"/>
          <w:szCs w:val="28"/>
          <w:lang w:val="fr-FR"/>
        </w:rPr>
        <w:t xml:space="preserve">Antier M., Bonenfant J., Chort G., et al.  </w:t>
      </w:r>
      <w:r w:rsidRPr="00CB336B">
        <w:rPr>
          <w:rFonts w:ascii="Times New Roman" w:hAnsi="Times New Roman"/>
          <w:bCs/>
          <w:sz w:val="28"/>
          <w:szCs w:val="28"/>
          <w:lang w:val="en-US"/>
        </w:rPr>
        <w:t xml:space="preserve">Alter ego +4 </w:t>
      </w:r>
      <w:r w:rsidRPr="00CB336B">
        <w:rPr>
          <w:rFonts w:ascii="Times New Roman" w:hAnsi="Times New Roman"/>
          <w:sz w:val="28"/>
          <w:szCs w:val="28"/>
          <w:lang w:val="en-US"/>
        </w:rPr>
        <w:t>Hachette FLE, 2015</w:t>
      </w:r>
    </w:p>
    <w:p w:rsidR="00A3142E" w:rsidRPr="00031782" w:rsidRDefault="00A3142E" w:rsidP="005E06B0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031782">
        <w:rPr>
          <w:rFonts w:ascii="Times New Roman" w:hAnsi="Times New Roman"/>
          <w:sz w:val="28"/>
          <w:szCs w:val="28"/>
          <w:lang w:val="en-US"/>
        </w:rPr>
        <w:t>5.</w:t>
      </w:r>
      <w:r w:rsidRPr="0003178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3178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ALTER EGO 5 </w:t>
      </w:r>
      <w:r w:rsidRPr="0003178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:</w:t>
      </w:r>
      <w:r w:rsidRPr="0003178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031782">
        <w:rPr>
          <w:rFonts w:ascii="Times New Roman" w:hAnsi="Times New Roman"/>
          <w:sz w:val="28"/>
          <w:szCs w:val="28"/>
          <w:lang w:val="en-US"/>
        </w:rPr>
        <w:t>Dollez</w:t>
      </w:r>
      <w:proofErr w:type="spellEnd"/>
      <w:r w:rsidRPr="00031782">
        <w:rPr>
          <w:rFonts w:ascii="Times New Roman" w:hAnsi="Times New Roman"/>
          <w:sz w:val="28"/>
          <w:szCs w:val="28"/>
          <w:lang w:val="en-US"/>
        </w:rPr>
        <w:t xml:space="preserve"> C., </w:t>
      </w:r>
      <w:proofErr w:type="spellStart"/>
      <w:r w:rsidRPr="00031782">
        <w:rPr>
          <w:rFonts w:ascii="Times New Roman" w:hAnsi="Times New Roman"/>
          <w:sz w:val="28"/>
          <w:szCs w:val="28"/>
          <w:lang w:val="en-US"/>
        </w:rPr>
        <w:t>Guillou</w:t>
      </w:r>
      <w:proofErr w:type="spellEnd"/>
      <w:r w:rsidRPr="00031782">
        <w:rPr>
          <w:rFonts w:ascii="Times New Roman" w:hAnsi="Times New Roman"/>
          <w:sz w:val="28"/>
          <w:szCs w:val="28"/>
          <w:lang w:val="en-US"/>
        </w:rPr>
        <w:t xml:space="preserve"> M., </w:t>
      </w:r>
      <w:proofErr w:type="spellStart"/>
      <w:r w:rsidRPr="00031782">
        <w:rPr>
          <w:rFonts w:ascii="Times New Roman" w:hAnsi="Times New Roman"/>
          <w:sz w:val="28"/>
          <w:szCs w:val="28"/>
          <w:lang w:val="en-US"/>
        </w:rPr>
        <w:t>Herry</w:t>
      </w:r>
      <w:proofErr w:type="spellEnd"/>
      <w:r w:rsidRPr="00031782">
        <w:rPr>
          <w:rFonts w:ascii="Times New Roman" w:hAnsi="Times New Roman"/>
          <w:sz w:val="28"/>
          <w:szCs w:val="28"/>
          <w:lang w:val="en-US"/>
        </w:rPr>
        <w:t xml:space="preserve"> C., Pons S., </w:t>
      </w:r>
      <w:proofErr w:type="spellStart"/>
      <w:r w:rsidRPr="00031782">
        <w:rPr>
          <w:rFonts w:ascii="Times New Roman" w:hAnsi="Times New Roman"/>
          <w:sz w:val="28"/>
          <w:szCs w:val="28"/>
          <w:lang w:val="en-US"/>
        </w:rPr>
        <w:t>Chapiro</w:t>
      </w:r>
      <w:proofErr w:type="spellEnd"/>
      <w:r w:rsidRPr="00031782">
        <w:rPr>
          <w:rFonts w:ascii="Times New Roman" w:hAnsi="Times New Roman"/>
          <w:sz w:val="28"/>
          <w:szCs w:val="28"/>
          <w:lang w:val="en-US"/>
        </w:rPr>
        <w:t xml:space="preserve"> L. </w:t>
      </w:r>
      <w:r w:rsidRPr="0003178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Hachette </w:t>
      </w:r>
      <w:proofErr w:type="spellStart"/>
      <w:r w:rsidRPr="0003178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Fle</w:t>
      </w:r>
      <w:proofErr w:type="spellEnd"/>
      <w:r w:rsidRPr="0003178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2011, </w:t>
      </w:r>
      <w:r w:rsidRPr="00031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03178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1 </w:t>
      </w:r>
    </w:p>
    <w:sectPr w:rsidR="00A3142E" w:rsidRPr="00031782" w:rsidSect="00FC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1E5"/>
    <w:rsid w:val="00036247"/>
    <w:rsid w:val="000614AF"/>
    <w:rsid w:val="000C71DF"/>
    <w:rsid w:val="00127F5F"/>
    <w:rsid w:val="00153009"/>
    <w:rsid w:val="001B046C"/>
    <w:rsid w:val="001B2961"/>
    <w:rsid w:val="001C0CCE"/>
    <w:rsid w:val="001C7858"/>
    <w:rsid w:val="00203200"/>
    <w:rsid w:val="002129B8"/>
    <w:rsid w:val="00240E23"/>
    <w:rsid w:val="002416BE"/>
    <w:rsid w:val="002461B5"/>
    <w:rsid w:val="00252D39"/>
    <w:rsid w:val="00256846"/>
    <w:rsid w:val="002D6A35"/>
    <w:rsid w:val="002E5ADA"/>
    <w:rsid w:val="002F6D3B"/>
    <w:rsid w:val="003408F0"/>
    <w:rsid w:val="003D0679"/>
    <w:rsid w:val="003D3BA2"/>
    <w:rsid w:val="003F6F5E"/>
    <w:rsid w:val="00415D00"/>
    <w:rsid w:val="0043233F"/>
    <w:rsid w:val="00442268"/>
    <w:rsid w:val="00451194"/>
    <w:rsid w:val="00464F58"/>
    <w:rsid w:val="004661C6"/>
    <w:rsid w:val="00466A89"/>
    <w:rsid w:val="00475887"/>
    <w:rsid w:val="00476206"/>
    <w:rsid w:val="004C3F5F"/>
    <w:rsid w:val="004F1549"/>
    <w:rsid w:val="00535B6C"/>
    <w:rsid w:val="005530AE"/>
    <w:rsid w:val="005972E8"/>
    <w:rsid w:val="005A1404"/>
    <w:rsid w:val="005C5900"/>
    <w:rsid w:val="005E06B0"/>
    <w:rsid w:val="006009E4"/>
    <w:rsid w:val="00601AAF"/>
    <w:rsid w:val="006213DA"/>
    <w:rsid w:val="006A18DD"/>
    <w:rsid w:val="006F5F72"/>
    <w:rsid w:val="00713C6D"/>
    <w:rsid w:val="00736E05"/>
    <w:rsid w:val="007664E7"/>
    <w:rsid w:val="00785608"/>
    <w:rsid w:val="007A64D8"/>
    <w:rsid w:val="007F463B"/>
    <w:rsid w:val="00820784"/>
    <w:rsid w:val="008405D3"/>
    <w:rsid w:val="008421B6"/>
    <w:rsid w:val="0084567D"/>
    <w:rsid w:val="00891A8B"/>
    <w:rsid w:val="008B41FD"/>
    <w:rsid w:val="008C0115"/>
    <w:rsid w:val="008F1D7A"/>
    <w:rsid w:val="00900860"/>
    <w:rsid w:val="0090692F"/>
    <w:rsid w:val="00930093"/>
    <w:rsid w:val="00954C96"/>
    <w:rsid w:val="00971AA9"/>
    <w:rsid w:val="009A1DB7"/>
    <w:rsid w:val="009B25F0"/>
    <w:rsid w:val="009B3523"/>
    <w:rsid w:val="009E097E"/>
    <w:rsid w:val="00A3142E"/>
    <w:rsid w:val="00A5005B"/>
    <w:rsid w:val="00A50BDE"/>
    <w:rsid w:val="00A55B09"/>
    <w:rsid w:val="00A84E80"/>
    <w:rsid w:val="00A935CA"/>
    <w:rsid w:val="00AB502E"/>
    <w:rsid w:val="00AB7CB7"/>
    <w:rsid w:val="00AC1C7D"/>
    <w:rsid w:val="00AD6CD7"/>
    <w:rsid w:val="00AE411C"/>
    <w:rsid w:val="00AE5C5A"/>
    <w:rsid w:val="00AF100C"/>
    <w:rsid w:val="00AF14BB"/>
    <w:rsid w:val="00B01B0A"/>
    <w:rsid w:val="00B8236C"/>
    <w:rsid w:val="00BE529A"/>
    <w:rsid w:val="00C31CCE"/>
    <w:rsid w:val="00C331E5"/>
    <w:rsid w:val="00C91009"/>
    <w:rsid w:val="00C95F4A"/>
    <w:rsid w:val="00CD3D67"/>
    <w:rsid w:val="00D04D24"/>
    <w:rsid w:val="00D20F81"/>
    <w:rsid w:val="00D31D8E"/>
    <w:rsid w:val="00D51393"/>
    <w:rsid w:val="00D72AD3"/>
    <w:rsid w:val="00DC6BCF"/>
    <w:rsid w:val="00E07908"/>
    <w:rsid w:val="00E56A94"/>
    <w:rsid w:val="00E8343E"/>
    <w:rsid w:val="00EA7AAE"/>
    <w:rsid w:val="00EB39A4"/>
    <w:rsid w:val="00ED696F"/>
    <w:rsid w:val="00EF3968"/>
    <w:rsid w:val="00F13334"/>
    <w:rsid w:val="00F303D3"/>
    <w:rsid w:val="00F91E6E"/>
    <w:rsid w:val="00FA3620"/>
    <w:rsid w:val="00FB39B0"/>
    <w:rsid w:val="00FB5A7B"/>
    <w:rsid w:val="00FC3222"/>
    <w:rsid w:val="00FF2F17"/>
    <w:rsid w:val="00FF357B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362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A362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A36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3620"/>
  </w:style>
  <w:style w:type="table" w:styleId="a5">
    <w:name w:val="Table Grid"/>
    <w:basedOn w:val="a1"/>
    <w:uiPriority w:val="59"/>
    <w:rsid w:val="00FA36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FA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FA3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AE411C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3D067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55B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5B09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55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5B09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Название Знак"/>
    <w:link w:val="a9"/>
    <w:locked/>
    <w:rsid w:val="00ED696F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ED696F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ED6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rsid w:val="001C0CCE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ug.fr/auteur/155/marie-laure-chalar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g.fr/auteur/400/christine-anda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Альмира Омарова</cp:lastModifiedBy>
  <cp:revision>127</cp:revision>
  <dcterms:created xsi:type="dcterms:W3CDTF">2018-12-21T05:23:00Z</dcterms:created>
  <dcterms:modified xsi:type="dcterms:W3CDTF">2024-06-05T07:30:00Z</dcterms:modified>
</cp:coreProperties>
</file>