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9E" w:rsidRPr="0069380B" w:rsidRDefault="000E69E2" w:rsidP="00B3139E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3139E" w:rsidRPr="0069380B">
        <w:rPr>
          <w:rFonts w:ascii="Times New Roman" w:hAnsi="Times New Roman"/>
          <w:b/>
          <w:sz w:val="28"/>
          <w:szCs w:val="28"/>
          <w:lang w:val="kk-KZ"/>
        </w:rPr>
        <w:t>«</w:t>
      </w:r>
      <w:r w:rsidR="00B3139E" w:rsidRPr="00F421C6">
        <w:rPr>
          <w:rFonts w:ascii="Times New Roman" w:hAnsi="Times New Roman"/>
          <w:b/>
          <w:sz w:val="28"/>
          <w:szCs w:val="28"/>
          <w:lang w:val="kk-KZ"/>
        </w:rPr>
        <w:t>Жануарлар патологиясы</w:t>
      </w:r>
      <w:r w:rsidR="00B3139E" w:rsidRPr="0069380B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B3139E" w:rsidRPr="0069380B" w:rsidRDefault="00B3139E" w:rsidP="00B3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B3139E" w:rsidRDefault="00B3139E" w:rsidP="00B313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83AF7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B3139E" w:rsidRPr="001C51C5" w:rsidRDefault="00B3139E" w:rsidP="00B31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C51C5">
        <w:rPr>
          <w:rFonts w:ascii="Times New Roman" w:hAnsi="Times New Roman"/>
          <w:sz w:val="28"/>
          <w:szCs w:val="28"/>
          <w:lang w:val="kk-KZ"/>
        </w:rPr>
        <w:t>(202</w:t>
      </w:r>
      <w:r w:rsidR="00075CCA">
        <w:rPr>
          <w:rFonts w:ascii="Times New Roman" w:hAnsi="Times New Roman"/>
          <w:sz w:val="28"/>
          <w:szCs w:val="28"/>
          <w:lang w:val="kk-KZ"/>
        </w:rPr>
        <w:t>4</w:t>
      </w:r>
      <w:r w:rsidRPr="001C51C5">
        <w:rPr>
          <w:rFonts w:ascii="Times New Roman" w:hAnsi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B3139E" w:rsidRDefault="00B3139E" w:rsidP="00B313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3139E" w:rsidRPr="0069380B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Pr="0069380B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69380B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B3139E" w:rsidRPr="00DC09F8" w:rsidRDefault="00B3139E" w:rsidP="00B313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 w:rsidRPr="0069380B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Pr="0069380B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Pr="0069380B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69380B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B3139E" w:rsidRDefault="00B3139E" w:rsidP="00B3139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М138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ab/>
        <w:t>«</w:t>
      </w:r>
      <w:r w:rsidRPr="00F421C6">
        <w:rPr>
          <w:rFonts w:ascii="Times New Roman" w:hAnsi="Times New Roman"/>
          <w:b/>
          <w:color w:val="000000"/>
          <w:sz w:val="28"/>
          <w:szCs w:val="28"/>
          <w:lang w:val="kk-KZ"/>
        </w:rPr>
        <w:t>Ветеринария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»</w:t>
      </w:r>
    </w:p>
    <w:p w:rsidR="00B3139E" w:rsidRPr="006321AC" w:rsidRDefault="00B3139E" w:rsidP="00B313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 </w:t>
      </w:r>
      <w:r w:rsidRPr="00A83AF7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шифр </w:t>
      </w:r>
      <w:r w:rsidRPr="00A83AF7">
        <w:rPr>
          <w:rFonts w:ascii="Times New Roman" w:eastAsia="Times New Roman" w:hAnsi="Times New Roman"/>
          <w:bCs/>
          <w:sz w:val="20"/>
          <w:szCs w:val="20"/>
          <w:lang w:val="kk-KZ"/>
        </w:rPr>
        <w:tab/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   </w:t>
      </w:r>
      <w:r>
        <w:rPr>
          <w:rFonts w:ascii="Times New Roman" w:eastAsia="Times New Roman" w:hAnsi="Times New Roman"/>
          <w:bCs/>
          <w:sz w:val="20"/>
          <w:szCs w:val="20"/>
          <w:lang w:val="kk-KZ"/>
        </w:rPr>
        <w:tab/>
        <w:t>білім беру бағдармалар тобы</w:t>
      </w:r>
    </w:p>
    <w:p w:rsidR="00B3139E" w:rsidRPr="00A83AF7" w:rsidRDefault="00B3139E" w:rsidP="00B3139E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bCs/>
          <w:sz w:val="28"/>
          <w:szCs w:val="28"/>
          <w:lang w:val="kk-KZ" w:eastAsia="ko-KR"/>
        </w:rPr>
        <w:t>3. Тест мазмұны</w:t>
      </w: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3AF7">
        <w:rPr>
          <w:rFonts w:ascii="Times New Roman" w:eastAsia="Times New Roman" w:hAnsi="Times New Roman"/>
          <w:sz w:val="28"/>
          <w:szCs w:val="28"/>
          <w:lang w:val="kk-KZ"/>
        </w:rPr>
        <w:t>Тестіге «</w:t>
      </w:r>
      <w:r w:rsidRPr="00C3318F">
        <w:rPr>
          <w:rFonts w:ascii="Times New Roman" w:hAnsi="Times New Roman"/>
          <w:sz w:val="28"/>
          <w:szCs w:val="28"/>
          <w:lang w:val="kk-KZ"/>
        </w:rPr>
        <w:t>Жануарлар патологиясы</w:t>
      </w:r>
      <w:r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» пәні бойынша </w:t>
      </w:r>
      <w:r>
        <w:rPr>
          <w:rFonts w:ascii="Times New Roman" w:eastAsia="Times New Roman" w:hAnsi="Times New Roman"/>
          <w:sz w:val="28"/>
          <w:szCs w:val="28"/>
          <w:lang w:val="kk-KZ"/>
        </w:rPr>
        <w:t>жұмыс оқу бағдарламасы</w:t>
      </w:r>
      <w:r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 негізіндегі оқу материалы келесі бөлімдер түрінде енгізілген. Тапсырмалар оқыту тілінде </w:t>
      </w:r>
      <w:r w:rsidRPr="00DB07A9">
        <w:rPr>
          <w:rFonts w:ascii="Times New Roman" w:eastAsia="Times New Roman" w:hAnsi="Times New Roman"/>
          <w:sz w:val="28"/>
          <w:szCs w:val="28"/>
          <w:lang w:val="kk-KZ" w:bidi="ar-DZ"/>
        </w:rPr>
        <w:t>(</w:t>
      </w:r>
      <w:r w:rsidRPr="00A83AF7">
        <w:rPr>
          <w:rFonts w:ascii="Times New Roman" w:eastAsia="Times New Roman" w:hAnsi="Times New Roman"/>
          <w:sz w:val="28"/>
          <w:szCs w:val="28"/>
          <w:lang w:val="kk-KZ" w:bidi="ar-DZ"/>
        </w:rPr>
        <w:t>қазақша</w:t>
      </w:r>
      <w:r w:rsidRPr="00DB07A9">
        <w:rPr>
          <w:rFonts w:ascii="Times New Roman" w:eastAsia="Times New Roman" w:hAnsi="Times New Roman"/>
          <w:sz w:val="28"/>
          <w:szCs w:val="28"/>
          <w:lang w:val="kk-KZ" w:bidi="ar-DZ"/>
        </w:rPr>
        <w:t>)</w:t>
      </w:r>
      <w:r w:rsidRPr="00A83AF7">
        <w:rPr>
          <w:rFonts w:ascii="Times New Roman" w:eastAsia="Times New Roman" w:hAnsi="Times New Roman"/>
          <w:sz w:val="28"/>
          <w:szCs w:val="28"/>
          <w:lang w:val="kk-KZ" w:bidi="ar-DZ"/>
        </w:rPr>
        <w:t xml:space="preserve"> ұсынылған.</w:t>
      </w:r>
      <w:r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B3139E" w:rsidRDefault="00B3139E" w:rsidP="00B3139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386"/>
        <w:gridCol w:w="1701"/>
        <w:gridCol w:w="1843"/>
      </w:tblGrid>
      <w:tr w:rsidR="00B3139E" w:rsidRPr="00075CCA" w:rsidTr="00CD7B10">
        <w:tc>
          <w:tcPr>
            <w:tcW w:w="500" w:type="dxa"/>
            <w:shd w:val="clear" w:color="auto" w:fill="auto"/>
            <w:vAlign w:val="center"/>
          </w:tcPr>
          <w:p w:rsidR="00B3139E" w:rsidRPr="00075CCA" w:rsidRDefault="00B3139E" w:rsidP="00CD7B10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3139E" w:rsidRPr="00075CCA" w:rsidRDefault="00B3139E" w:rsidP="00CD7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Тақырыптың мазмұны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39E" w:rsidRPr="00075CCA" w:rsidRDefault="00B3139E" w:rsidP="00CD7B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Қиындық деңгейі</w:t>
            </w:r>
          </w:p>
        </w:tc>
        <w:tc>
          <w:tcPr>
            <w:tcW w:w="1843" w:type="dxa"/>
            <w:shd w:val="clear" w:color="auto" w:fill="auto"/>
          </w:tcPr>
          <w:p w:rsidR="00B3139E" w:rsidRPr="00075CCA" w:rsidRDefault="00B3139E" w:rsidP="00CD7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Тапсыр-малар саны</w:t>
            </w:r>
          </w:p>
        </w:tc>
      </w:tr>
      <w:tr w:rsidR="00B3139E" w:rsidRPr="00075CCA" w:rsidTr="00CD7B10">
        <w:trPr>
          <w:trHeight w:val="303"/>
        </w:trPr>
        <w:tc>
          <w:tcPr>
            <w:tcW w:w="500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B3139E" w:rsidRPr="00075CCA" w:rsidRDefault="00B3139E" w:rsidP="00CD7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Жалпы нозология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B3139E" w:rsidRPr="00075CCA" w:rsidTr="00CD7B10">
        <w:trPr>
          <w:trHeight w:val="303"/>
        </w:trPr>
        <w:tc>
          <w:tcPr>
            <w:tcW w:w="500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B3139E" w:rsidRPr="00075CCA" w:rsidRDefault="00B3139E" w:rsidP="00CD7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Типтік патологиялық процестар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B3139E" w:rsidRPr="00075CCA" w:rsidTr="00CD7B10">
        <w:trPr>
          <w:trHeight w:val="303"/>
        </w:trPr>
        <w:tc>
          <w:tcPr>
            <w:tcW w:w="500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B3139E" w:rsidRPr="00075CCA" w:rsidRDefault="00B3139E" w:rsidP="00CD7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Мүшелер мен жүйелердің патофизиологиясы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 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B3139E" w:rsidRPr="00075CCA" w:rsidRDefault="00B3139E" w:rsidP="00CD7B1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F4B0C" w:rsidRPr="00075CCA" w:rsidTr="00CD7B10">
        <w:trPr>
          <w:trHeight w:val="303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3F4B0C" w:rsidRPr="00075CCA" w:rsidRDefault="0095789B" w:rsidP="00D223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Жалпы патологиялық </w:t>
            </w:r>
            <w:r w:rsidR="00D223BA"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процестер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В 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DF53F3" w:rsidRDefault="00DF53F3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F4B0C" w:rsidRPr="00075CCA" w:rsidTr="00CD7B10">
        <w:trPr>
          <w:trHeight w:val="303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3F4B0C" w:rsidRPr="00075CCA" w:rsidRDefault="003F4B0C" w:rsidP="003F4B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Мүшелер патологиясы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3F4B0C" w:rsidRPr="00075CCA" w:rsidTr="00CD7B10">
        <w:trPr>
          <w:trHeight w:val="309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3F4B0C" w:rsidRPr="00075CCA" w:rsidRDefault="003F4B0C" w:rsidP="003F4B0C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075CCA">
              <w:rPr>
                <w:szCs w:val="28"/>
                <w:lang w:val="kk-KZ"/>
              </w:rPr>
              <w:t>Ауыл шаруашылық жануарларының бактериялық ауруларының патоморфологиясы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 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F4B0C" w:rsidRPr="00075CCA" w:rsidTr="00CD7B10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3F4B0C" w:rsidRPr="00075CCA" w:rsidRDefault="003F4B0C" w:rsidP="003F4B0C">
            <w:pPr>
              <w:pStyle w:val="1"/>
              <w:rPr>
                <w:sz w:val="28"/>
                <w:szCs w:val="28"/>
                <w:lang w:val="kk-KZ"/>
              </w:rPr>
            </w:pPr>
            <w:r w:rsidRPr="00075CCA">
              <w:rPr>
                <w:sz w:val="28"/>
                <w:szCs w:val="28"/>
                <w:lang w:val="kk-KZ"/>
              </w:rPr>
              <w:t>Ауыл шаруашылық жануарларының вирустық ауруларының патоморфологиясы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F4B0C" w:rsidRPr="00075CCA" w:rsidTr="00CD7B10">
        <w:trPr>
          <w:trHeight w:val="277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3F4B0C" w:rsidRDefault="003F4B0C" w:rsidP="003F4B0C">
            <w:pPr>
              <w:pStyle w:val="1"/>
              <w:rPr>
                <w:sz w:val="28"/>
                <w:szCs w:val="28"/>
                <w:lang w:val="kk-KZ"/>
              </w:rPr>
            </w:pPr>
            <w:r w:rsidRPr="00075CCA">
              <w:rPr>
                <w:sz w:val="28"/>
                <w:szCs w:val="28"/>
                <w:lang w:val="kk-KZ"/>
              </w:rPr>
              <w:t>Ауыл шаруашылық жануарларының микоздарының патоморфологиясы</w:t>
            </w:r>
          </w:p>
          <w:p w:rsidR="00075CCA" w:rsidRPr="00075CCA" w:rsidRDefault="00075CCA" w:rsidP="003F4B0C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3F4B0C" w:rsidRPr="00075CCA" w:rsidTr="00CD7B10">
        <w:trPr>
          <w:trHeight w:val="277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3F4B0C" w:rsidRPr="00075CCA" w:rsidRDefault="003F4B0C" w:rsidP="003F4B0C">
            <w:pPr>
              <w:pStyle w:val="1"/>
              <w:rPr>
                <w:sz w:val="28"/>
                <w:szCs w:val="28"/>
                <w:lang w:val="kk-KZ"/>
              </w:rPr>
            </w:pPr>
            <w:r w:rsidRPr="00075CCA">
              <w:rPr>
                <w:sz w:val="28"/>
                <w:szCs w:val="28"/>
                <w:lang w:val="kk-KZ"/>
              </w:rPr>
              <w:t>Ауыл шаруашылық жануарларының инвазиялық ауруларының патоморфологиясы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3F4B0C" w:rsidRPr="00075CCA" w:rsidTr="00CD7B10">
        <w:trPr>
          <w:trHeight w:val="236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3F4B0C" w:rsidRPr="00075CCA" w:rsidRDefault="003F4B0C" w:rsidP="003F4B0C">
            <w:pPr>
              <w:pStyle w:val="1"/>
              <w:rPr>
                <w:sz w:val="28"/>
                <w:szCs w:val="28"/>
                <w:lang w:val="kk-KZ"/>
              </w:rPr>
            </w:pPr>
            <w:r w:rsidRPr="00075CCA">
              <w:rPr>
                <w:sz w:val="28"/>
                <w:szCs w:val="28"/>
                <w:lang w:val="kk-KZ"/>
              </w:rPr>
              <w:t xml:space="preserve">Ауыл шаруашылық жануарларының жұқпалы емес ауруларының патоморфологиясы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3F4B0C" w:rsidRPr="00075CCA" w:rsidTr="00CD7B10">
        <w:trPr>
          <w:trHeight w:val="236"/>
        </w:trPr>
        <w:tc>
          <w:tcPr>
            <w:tcW w:w="500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11</w:t>
            </w:r>
          </w:p>
        </w:tc>
        <w:tc>
          <w:tcPr>
            <w:tcW w:w="5386" w:type="dxa"/>
            <w:shd w:val="clear" w:color="auto" w:fill="auto"/>
          </w:tcPr>
          <w:p w:rsidR="003F4B0C" w:rsidRPr="00075CCA" w:rsidRDefault="003F4B0C" w:rsidP="003F4B0C">
            <w:pPr>
              <w:pStyle w:val="1"/>
              <w:rPr>
                <w:sz w:val="28"/>
                <w:szCs w:val="28"/>
                <w:lang w:val="kk-KZ"/>
              </w:rPr>
            </w:pPr>
            <w:r w:rsidRPr="00075CCA">
              <w:rPr>
                <w:sz w:val="28"/>
                <w:szCs w:val="28"/>
                <w:lang w:val="kk-KZ"/>
              </w:rPr>
              <w:t>Өлекселерді сойып зерттеу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4B0C" w:rsidRPr="00075CCA" w:rsidRDefault="00C44E13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5C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F4B0C" w:rsidRPr="00075CCA" w:rsidTr="00CD7B10">
        <w:tc>
          <w:tcPr>
            <w:tcW w:w="5886" w:type="dxa"/>
            <w:gridSpan w:val="2"/>
            <w:shd w:val="clear" w:color="auto" w:fill="auto"/>
          </w:tcPr>
          <w:p w:rsidR="003F4B0C" w:rsidRPr="00075CCA" w:rsidRDefault="003F4B0C" w:rsidP="003F4B0C">
            <w:pPr>
              <w:pStyle w:val="1"/>
              <w:rPr>
                <w:sz w:val="28"/>
                <w:szCs w:val="28"/>
              </w:rPr>
            </w:pPr>
            <w:r w:rsidRPr="00075CCA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F4B0C" w:rsidRPr="00075CCA" w:rsidRDefault="003F4B0C" w:rsidP="003F4B0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5C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B3139E" w:rsidRDefault="00B3139E" w:rsidP="00B3139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139E" w:rsidRPr="00F421C6" w:rsidRDefault="00B3139E" w:rsidP="00B313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421C6"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 w:rsidRPr="00F421C6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B3139E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Бірінші бөлімінде </w:t>
      </w:r>
      <w:r>
        <w:rPr>
          <w:rFonts w:ascii="Times New Roman" w:hAnsi="Times New Roman"/>
          <w:bCs/>
          <w:sz w:val="28"/>
          <w:szCs w:val="28"/>
          <w:lang w:val="kk-KZ"/>
        </w:rPr>
        <w:t>ауру туралы сұрақтар, аурудың туындау себептері мен дамуы, организмнің реактивтілігі қарастырылған.</w:t>
      </w:r>
    </w:p>
    <w:p w:rsidR="00B3139E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Екінші бөлімде малдың тірі кезінде байқалатын патологиялық өзгерістер қамтылған.</w:t>
      </w:r>
    </w:p>
    <w:p w:rsidR="00B3139E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Үшінші бөлімде әртүрлі мүшелер мен организм жүйелеріндегі патофизиологиялық өзгерістер келтірілген.</w:t>
      </w:r>
    </w:p>
    <w:p w:rsidR="00B3139E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Төртінші бөлімде өлген жануарлар организмінде байқалатын жалпы патологиялық </w:t>
      </w:r>
      <w:r w:rsidR="00B51DE6">
        <w:rPr>
          <w:rFonts w:ascii="Times New Roman" w:hAnsi="Times New Roman"/>
          <w:bCs/>
          <w:sz w:val="28"/>
          <w:szCs w:val="28"/>
          <w:lang w:val="kk-KZ"/>
        </w:rPr>
        <w:t>процестердің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макроскопиялық және микроскопиялық </w:t>
      </w:r>
      <w:r w:rsidR="00B51DE6">
        <w:rPr>
          <w:rFonts w:ascii="Times New Roman" w:hAnsi="Times New Roman"/>
          <w:bCs/>
          <w:sz w:val="28"/>
          <w:szCs w:val="28"/>
          <w:lang w:val="kk-KZ"/>
        </w:rPr>
        <w:t>өзгерістері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қарастырылған.</w:t>
      </w:r>
    </w:p>
    <w:p w:rsidR="00B3139E" w:rsidRPr="00F421C6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Бесінші бөлімде белгілі бір мүшелердің, жүйелердің құрылымдық және функциялық ерекшеліктері,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туындаған патологиялық 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процестердің патоморфологиялық көрінісі қарастырылған. </w:t>
      </w:r>
    </w:p>
    <w:p w:rsidR="00B3139E" w:rsidRPr="00F421C6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Алтыншы 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kk-KZ"/>
        </w:rPr>
        <w:t>тоғызыншы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 бөлімдерінде әртүрлі инфекциялық және инвазиялық аурулардың морфогенезін, патоморфологиялық өзгерістердің макроскопиялық және гистологиялық тұрғыда диагностикасын қамты</w:t>
      </w:r>
      <w:r>
        <w:rPr>
          <w:rFonts w:ascii="Times New Roman" w:hAnsi="Times New Roman"/>
          <w:bCs/>
          <w:sz w:val="28"/>
          <w:szCs w:val="28"/>
          <w:lang w:val="kk-KZ"/>
        </w:rPr>
        <w:t>л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>ған.</w:t>
      </w:r>
    </w:p>
    <w:p w:rsidR="00B3139E" w:rsidRPr="00F421C6" w:rsidRDefault="00B3139E" w:rsidP="00B3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Оныншы және он бірінші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 бөлімінде жануарлардың жұқпалы емес аурулары барысында туындаған мүшелер мен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 ұлпалардағы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>құрылымдық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 xml:space="preserve"> және қызметінің өзгеруінің патоморфологиялық диагностикасы және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</w:t>
      </w:r>
      <w:r w:rsidRPr="00F421C6">
        <w:rPr>
          <w:rFonts w:ascii="Times New Roman" w:hAnsi="Times New Roman"/>
          <w:bCs/>
          <w:sz w:val="28"/>
          <w:szCs w:val="28"/>
          <w:lang w:val="kk-KZ"/>
        </w:rPr>
        <w:t>жануарлар өлекселерін сойып зерттеу, құжаттау және диагностикалық зерттеуге қажетті материал алу техникасы қарастырылған.</w:t>
      </w:r>
    </w:p>
    <w:p w:rsidR="00B3139E" w:rsidRPr="0069380B" w:rsidRDefault="00B3139E" w:rsidP="00B3139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B3139E" w:rsidRPr="0069380B" w:rsidRDefault="00B3139E" w:rsidP="00B3139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69380B">
        <w:rPr>
          <w:rFonts w:ascii="Times New Roman" w:hAnsi="Times New Roman"/>
          <w:sz w:val="28"/>
          <w:szCs w:val="28"/>
          <w:lang w:val="kk-KZ"/>
        </w:rPr>
        <w:br/>
        <w:t>Тест орындалуының жалпы уақыты – 60 минут</w:t>
      </w:r>
    </w:p>
    <w:p w:rsidR="00B3139E" w:rsidRPr="0069380B" w:rsidRDefault="00B3139E" w:rsidP="00B3139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B3139E" w:rsidRPr="0069380B" w:rsidRDefault="00B3139E" w:rsidP="00B31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B3139E" w:rsidRPr="0069380B" w:rsidRDefault="00B3139E" w:rsidP="00B31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9380B">
        <w:rPr>
          <w:rFonts w:ascii="Times New Roman" w:hAnsi="Times New Roman"/>
          <w:sz w:val="28"/>
          <w:szCs w:val="28"/>
          <w:lang w:val="kk-KZ"/>
        </w:rPr>
        <w:t>бөлінуі:</w:t>
      </w:r>
    </w:p>
    <w:p w:rsidR="00B3139E" w:rsidRPr="0069380B" w:rsidRDefault="00B3139E" w:rsidP="00B313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 xml:space="preserve">жеңіл (A) – </w:t>
      </w:r>
      <w:r w:rsidRPr="0069380B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9380B">
        <w:rPr>
          <w:rFonts w:ascii="Times New Roman" w:hAnsi="Times New Roman"/>
          <w:sz w:val="28"/>
          <w:szCs w:val="28"/>
        </w:rPr>
        <w:t>тапсырма (30%);</w:t>
      </w:r>
    </w:p>
    <w:p w:rsidR="00B3139E" w:rsidRPr="0069380B" w:rsidRDefault="00B3139E" w:rsidP="00B313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B3139E" w:rsidRPr="0069380B" w:rsidRDefault="00B3139E" w:rsidP="00B313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>қиын (C) – 9 тапсырма (30%).</w:t>
      </w:r>
    </w:p>
    <w:p w:rsidR="00B3139E" w:rsidRPr="0069380B" w:rsidRDefault="00B3139E" w:rsidP="00B3139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9380B">
        <w:rPr>
          <w:rFonts w:ascii="Times New Roman" w:hAnsi="Times New Roman"/>
          <w:b/>
          <w:sz w:val="28"/>
          <w:szCs w:val="28"/>
        </w:rPr>
        <w:t>7. Тапсырма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9380B">
        <w:rPr>
          <w:rFonts w:ascii="Times New Roman" w:hAnsi="Times New Roman"/>
          <w:b/>
          <w:sz w:val="28"/>
          <w:szCs w:val="28"/>
        </w:rPr>
        <w:t>формасы:</w:t>
      </w:r>
    </w:p>
    <w:p w:rsidR="00B3139E" w:rsidRPr="0069380B" w:rsidRDefault="00B3139E" w:rsidP="00B3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B3139E" w:rsidRPr="0069380B" w:rsidRDefault="00B3139E" w:rsidP="00B3139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9380B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69380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3139E" w:rsidRPr="00716F42" w:rsidRDefault="00B3139E" w:rsidP="00B313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Дұрыс орындалған әр тапсырма үшін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түсушіге</w:t>
      </w: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 балл бер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іл</w:t>
      </w: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еді, одан басқа жағдайда - 0 балл беріледі. </w:t>
      </w:r>
    </w:p>
    <w:p w:rsidR="00B3139E" w:rsidRPr="004118B2" w:rsidRDefault="00B3139E" w:rsidP="00B313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118B2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4118B2">
        <w:rPr>
          <w:rFonts w:ascii="Times New Roman" w:hAnsi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:rsidR="00B3139E" w:rsidRDefault="00B3139E" w:rsidP="00B31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118B2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Pr="004118B2">
        <w:rPr>
          <w:rFonts w:ascii="Times New Roman" w:hAnsi="Times New Roman"/>
          <w:sz w:val="28"/>
          <w:szCs w:val="28"/>
          <w:lang w:val="kk-KZ"/>
        </w:rPr>
        <w:t>Ө. Ығылманұлы. Ветеринариялық патологиялық анатомия. Алматы, 2017, 1,2,3 том.</w:t>
      </w:r>
    </w:p>
    <w:p w:rsidR="00850E18" w:rsidRDefault="00B3139E" w:rsidP="00B31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12BF6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850E18" w:rsidRPr="00A45AA5">
        <w:rPr>
          <w:rFonts w:ascii="Times New Roman" w:hAnsi="Times New Roman"/>
          <w:sz w:val="28"/>
          <w:szCs w:val="28"/>
          <w:lang w:val="kk-KZ"/>
        </w:rPr>
        <w:t>Нұрғазы Б.Ө. Сойып-зерттеу және соттық ветеринария. Алматы, 2012.</w:t>
      </w:r>
    </w:p>
    <w:p w:rsidR="00B3139E" w:rsidRDefault="00850E18" w:rsidP="00B31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9A19A3" w:rsidRPr="004118B2">
        <w:rPr>
          <w:rFonts w:ascii="Times New Roman" w:hAnsi="Times New Roman"/>
          <w:sz w:val="28"/>
          <w:szCs w:val="28"/>
          <w:lang w:val="kk-KZ"/>
        </w:rPr>
        <w:t>Струков А.И., Серов В.В. Патологиялық анатомия: медициналық жоғары оқу орындарының студенттеріне арналған оқулық. Орысшадан аударған М.Т.Айтқұлов. Алматы, Қарағанды: Ғылым, 2013 – 984 б.</w:t>
      </w:r>
    </w:p>
    <w:p w:rsidR="009A19A3" w:rsidRDefault="009A19A3" w:rsidP="00B31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4. З.К.Қожабеков, Өтенов Ә.М. Малдың патологиялық физиологиясы. Алматы, 1992.</w:t>
      </w:r>
    </w:p>
    <w:p w:rsidR="00B203BD" w:rsidRPr="009A19A3" w:rsidRDefault="00B203BD" w:rsidP="00B203B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 w:rsidRPr="009E2D71">
        <w:rPr>
          <w:rFonts w:ascii="Times New Roman" w:hAnsi="Times New Roman"/>
          <w:sz w:val="28"/>
          <w:szCs w:val="28"/>
          <w:lang w:val="kk-KZ"/>
        </w:rPr>
        <w:t xml:space="preserve">Ө. Ығылманұлы. </w:t>
      </w:r>
      <w:r w:rsidRPr="00C5607A">
        <w:rPr>
          <w:rFonts w:ascii="Times New Roman" w:hAnsi="Times New Roman"/>
          <w:sz w:val="28"/>
          <w:szCs w:val="28"/>
        </w:rPr>
        <w:t>Ветеринариялық патологиялық анатомия. Алматы, 2010</w:t>
      </w:r>
    </w:p>
    <w:p w:rsidR="00B3139E" w:rsidRDefault="00B3139E" w:rsidP="00B203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sectPr w:rsidR="00B3139E" w:rsidSect="0087214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0E"/>
    <w:rsid w:val="00075CCA"/>
    <w:rsid w:val="000A68C1"/>
    <w:rsid w:val="000E69E2"/>
    <w:rsid w:val="003F4B0C"/>
    <w:rsid w:val="0044420E"/>
    <w:rsid w:val="005D59D9"/>
    <w:rsid w:val="006017D1"/>
    <w:rsid w:val="00850E18"/>
    <w:rsid w:val="00912BF6"/>
    <w:rsid w:val="0095789B"/>
    <w:rsid w:val="009A19A3"/>
    <w:rsid w:val="009E2D71"/>
    <w:rsid w:val="00B203BD"/>
    <w:rsid w:val="00B3139E"/>
    <w:rsid w:val="00B51DE6"/>
    <w:rsid w:val="00BF1E3E"/>
    <w:rsid w:val="00C44E13"/>
    <w:rsid w:val="00CC7359"/>
    <w:rsid w:val="00D223BA"/>
    <w:rsid w:val="00D562B3"/>
    <w:rsid w:val="00DF53F3"/>
    <w:rsid w:val="00E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139E"/>
    <w:pPr>
      <w:ind w:left="720"/>
      <w:contextualSpacing/>
    </w:pPr>
  </w:style>
  <w:style w:type="paragraph" w:styleId="a4">
    <w:name w:val="No Spacing"/>
    <w:uiPriority w:val="1"/>
    <w:qFormat/>
    <w:rsid w:val="00B3139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313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139E"/>
    <w:rPr>
      <w:rFonts w:ascii="Calibri" w:eastAsia="Calibri" w:hAnsi="Calibri" w:cs="Times New Roman"/>
    </w:rPr>
  </w:style>
  <w:style w:type="paragraph" w:customStyle="1" w:styleId="1">
    <w:name w:val="Обычный1"/>
    <w:link w:val="Normal"/>
    <w:rsid w:val="00B3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B3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3139E"/>
    <w:pPr>
      <w:ind w:left="720"/>
      <w:jc w:val="both"/>
    </w:pPr>
    <w:rPr>
      <w:sz w:val="28"/>
    </w:rPr>
  </w:style>
  <w:style w:type="character" w:styleId="a5">
    <w:name w:val="Strong"/>
    <w:uiPriority w:val="22"/>
    <w:qFormat/>
    <w:rsid w:val="00B31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139E"/>
    <w:pPr>
      <w:ind w:left="720"/>
      <w:contextualSpacing/>
    </w:pPr>
  </w:style>
  <w:style w:type="paragraph" w:styleId="a4">
    <w:name w:val="No Spacing"/>
    <w:uiPriority w:val="1"/>
    <w:qFormat/>
    <w:rsid w:val="00B3139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313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139E"/>
    <w:rPr>
      <w:rFonts w:ascii="Calibri" w:eastAsia="Calibri" w:hAnsi="Calibri" w:cs="Times New Roman"/>
    </w:rPr>
  </w:style>
  <w:style w:type="paragraph" w:customStyle="1" w:styleId="1">
    <w:name w:val="Обычный1"/>
    <w:link w:val="Normal"/>
    <w:rsid w:val="00B3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B3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3139E"/>
    <w:pPr>
      <w:ind w:left="720"/>
      <w:jc w:val="both"/>
    </w:pPr>
    <w:rPr>
      <w:sz w:val="28"/>
    </w:rPr>
  </w:style>
  <w:style w:type="character" w:styleId="a5">
    <w:name w:val="Strong"/>
    <w:uiPriority w:val="22"/>
    <w:qFormat/>
    <w:rsid w:val="00B3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 Бакибаев</dc:creator>
  <cp:keywords/>
  <dc:description/>
  <cp:lastModifiedBy>Айнур Сарсембай</cp:lastModifiedBy>
  <cp:revision>21</cp:revision>
  <dcterms:created xsi:type="dcterms:W3CDTF">2022-04-05T10:59:00Z</dcterms:created>
  <dcterms:modified xsi:type="dcterms:W3CDTF">2024-05-28T07:40:00Z</dcterms:modified>
</cp:coreProperties>
</file>