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0" w:rsidRPr="005A1404" w:rsidRDefault="00FA3620" w:rsidP="00FA362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6009E4" w:rsidRPr="005A1404" w:rsidRDefault="00A620E5" w:rsidP="00AE41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«Кәсіби бағытталған шет</w:t>
      </w:r>
      <w:r w:rsidR="006009E4" w:rsidRPr="005A140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тілі»</w:t>
      </w:r>
      <w:r w:rsidR="00E079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(неміс тілі)</w:t>
      </w:r>
    </w:p>
    <w:p w:rsidR="00AE411C" w:rsidRPr="005A1404" w:rsidRDefault="00AE411C" w:rsidP="00AE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E411C" w:rsidRPr="005A1404" w:rsidRDefault="006009E4" w:rsidP="00AE41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E411C" w:rsidRPr="005A1404" w:rsidRDefault="001C0CCE" w:rsidP="00AE411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A620E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AE411C" w:rsidRPr="005A1404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AE411C" w:rsidRPr="005A1404" w:rsidRDefault="00AE411C" w:rsidP="00FA362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D0679" w:rsidRPr="005A1404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3D0679" w:rsidRPr="005A1404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5A1404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5A14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5A1404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3D0679" w:rsidRPr="005A1404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>M01</w:t>
      </w:r>
      <w:r w:rsidR="0043162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A620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Шет</w:t>
      </w: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</w:t>
      </w:r>
      <w:r w:rsidR="00A620E5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A620E5">
        <w:rPr>
          <w:rFonts w:ascii="Times New Roman" w:hAnsi="Times New Roman" w:cs="Times New Roman"/>
          <w:b/>
          <w:sz w:val="28"/>
          <w:szCs w:val="28"/>
          <w:lang w:val="kk-KZ"/>
        </w:rPr>
        <w:t>педагогтері</w:t>
      </w:r>
      <w:r w:rsidR="00B01B0A" w:rsidRPr="005A140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5A1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даярлау </w:t>
      </w:r>
    </w:p>
    <w:p w:rsidR="003D0679" w:rsidRPr="005A1404" w:rsidRDefault="008421B6" w:rsidP="008421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3D0679"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   </w:t>
      </w:r>
      <w:r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</w:t>
      </w:r>
      <w:r w:rsidR="003D0679" w:rsidRPr="005A140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білім беру бағдармалар тобы</w:t>
      </w:r>
    </w:p>
    <w:p w:rsidR="00FF357B" w:rsidRPr="005A1404" w:rsidRDefault="003D0679" w:rsidP="003D0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D0679" w:rsidRPr="005A1404" w:rsidRDefault="00A620E5" w:rsidP="003D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«Кәсіби бағытталған шет</w:t>
      </w:r>
      <w:r w:rsidR="003D0679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тілі» пәнінің типтік оқу жоспарына сәйкес келесі тақырыптар бойынша оқу материалын қамтиды:</w:t>
      </w:r>
    </w:p>
    <w:tbl>
      <w:tblPr>
        <w:tblpPr w:leftFromText="180" w:rightFromText="180" w:vertAnchor="text" w:horzAnchor="margin" w:tblpX="-252" w:tblpY="17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1"/>
        <w:gridCol w:w="480"/>
        <w:gridCol w:w="4665"/>
        <w:gridCol w:w="1260"/>
        <w:gridCol w:w="1058"/>
      </w:tblGrid>
      <w:tr w:rsidR="005A1404" w:rsidRPr="005A1404" w:rsidTr="00DD3C61">
        <w:trPr>
          <w:trHeight w:val="575"/>
        </w:trPr>
        <w:tc>
          <w:tcPr>
            <w:tcW w:w="578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80" w:type="dxa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Тақырыпшалар</w:t>
            </w:r>
          </w:p>
        </w:tc>
        <w:tc>
          <w:tcPr>
            <w:tcW w:w="1260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Қиындық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>Тапсырмалар</w:t>
            </w:r>
            <w:proofErr w:type="spellEnd"/>
            <w:r w:rsidRPr="005A1404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әлемде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бала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тұлғасының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тұлғасын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алыптастыру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әсер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ететін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 Мотивация.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А-2,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A1404" w:rsidRPr="005A1404" w:rsidTr="00DD3C61">
        <w:trPr>
          <w:trHeight w:val="393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жасөспі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імдер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жастардың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292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әлеуетін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құндылықтары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Көрнекті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тұлғалар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63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сы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қатерлері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құқықтарын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жағдайындағы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берудің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А-1, В-3,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A1404" w:rsidRPr="005A1404" w:rsidTr="00DD3C61">
        <w:trPr>
          <w:trHeight w:val="34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сы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қатерлері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мысалы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көші-қон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қалалардың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өсуі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.). Экология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орта.</w:t>
            </w:r>
          </w:p>
        </w:tc>
        <w:tc>
          <w:tcPr>
            <w:tcW w:w="1260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5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құқығын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емдегі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ұйымдар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(БҰҰ, UNICEF)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Әлемдегі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тенденциялары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с-т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әжірибе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Жұ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Бизнес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мансап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А-2, В-2,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ұтқырлық</w:t>
            </w:r>
            <w:proofErr w:type="spellEnd"/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өнді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істің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интеграциясы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іктірілген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</w:p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Мәдениетаралық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диалогы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Тілдерді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үйрену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А-1,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Оқытылатын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елдерінің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әде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ғұрыптары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Дә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үрлі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құндылықтар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Бұқ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аралы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lastRenderedPageBreak/>
              <w:t>құралдары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Коммуникация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В-1, С-2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5A1404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4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ресурстары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404" w:rsidRPr="005A1404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5A1404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04">
              <w:rPr>
                <w:rFonts w:ascii="Times New Roman" w:hAnsi="Times New Roman"/>
                <w:sz w:val="24"/>
                <w:szCs w:val="24"/>
              </w:rPr>
              <w:t>технологиялардың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404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  <w:r w:rsidRPr="005A1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5A1404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BF" w:rsidRPr="005A1404" w:rsidTr="00664030">
        <w:trPr>
          <w:trHeight w:val="315"/>
        </w:trPr>
        <w:tc>
          <w:tcPr>
            <w:tcW w:w="7594" w:type="dxa"/>
            <w:gridSpan w:val="4"/>
            <w:vAlign w:val="center"/>
          </w:tcPr>
          <w:p w:rsidR="00DB20BF" w:rsidRPr="005A1404" w:rsidRDefault="00DB20BF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318" w:type="dxa"/>
            <w:gridSpan w:val="2"/>
          </w:tcPr>
          <w:p w:rsidR="00DB20BF" w:rsidRPr="00DB20BF" w:rsidRDefault="00DB20BF" w:rsidP="00DB20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DB2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bookmarkEnd w:id="0"/>
          </w:p>
        </w:tc>
      </w:tr>
    </w:tbl>
    <w:p w:rsidR="008421B6" w:rsidRPr="005A1404" w:rsidRDefault="008421B6" w:rsidP="00FA3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20" w:rsidRPr="005A1404" w:rsidRDefault="00D31D8E" w:rsidP="00FA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proofErr w:type="spellEnd"/>
      <w:r w:rsidRPr="005A14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B6C" w:rsidRPr="005A1404" w:rsidRDefault="00535B6C" w:rsidP="00AB7C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Кәсіби бағытталған шетел тілі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F72" w:rsidRPr="005A1404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тест тапсырмаларының мазмұны типтік оқу </w:t>
      </w:r>
      <w:r w:rsidR="00EB39A4" w:rsidRPr="005A1404"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жəне C1 тіл</w:t>
      </w:r>
      <w:r w:rsidR="00EA7AAE" w:rsidRPr="005A1404"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білім деңгейінің</w:t>
      </w:r>
      <w:r w:rsidR="00EB39A4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(IV ұлттық стандарт)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сай. Тест тапсырмалары </w:t>
      </w:r>
      <w:r w:rsidRPr="00F2584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01B0A" w:rsidRPr="00F2584B">
        <w:rPr>
          <w:rFonts w:ascii="Times New Roman" w:hAnsi="Times New Roman" w:cs="Times New Roman"/>
          <w:sz w:val="28"/>
          <w:szCs w:val="28"/>
          <w:lang w:val="kk-KZ"/>
        </w:rPr>
        <w:t>M01</w:t>
      </w:r>
      <w:r w:rsidR="0043162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82E9A">
        <w:rPr>
          <w:rFonts w:ascii="Times New Roman" w:hAnsi="Times New Roman" w:cs="Times New Roman"/>
          <w:sz w:val="28"/>
          <w:szCs w:val="28"/>
          <w:lang w:val="kk-KZ"/>
        </w:rPr>
        <w:t xml:space="preserve"> Шет</w:t>
      </w:r>
      <w:r w:rsidR="00B01B0A" w:rsidRPr="00F2584B">
        <w:rPr>
          <w:rFonts w:ascii="Times New Roman" w:hAnsi="Times New Roman" w:cs="Times New Roman"/>
          <w:sz w:val="28"/>
          <w:szCs w:val="28"/>
          <w:lang w:val="kk-KZ"/>
        </w:rPr>
        <w:t xml:space="preserve"> тіл</w:t>
      </w:r>
      <w:r w:rsidR="00F82E9A">
        <w:rPr>
          <w:rFonts w:ascii="Times New Roman" w:hAnsi="Times New Roman" w:cs="Times New Roman"/>
          <w:sz w:val="28"/>
          <w:szCs w:val="28"/>
          <w:lang w:val="kk-KZ"/>
        </w:rPr>
        <w:t>дері педагогтері</w:t>
      </w:r>
      <w:r w:rsidR="00B01B0A" w:rsidRPr="00F258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даярлау» білім беру бағдарламалары тобы бойынша магистратураға </w:t>
      </w:r>
      <w:r w:rsidR="009E097E" w:rsidRPr="005A1404">
        <w:rPr>
          <w:rFonts w:ascii="Times New Roman" w:hAnsi="Times New Roman" w:cs="Times New Roman"/>
          <w:sz w:val="28"/>
          <w:szCs w:val="28"/>
          <w:lang w:val="kk-KZ"/>
        </w:rPr>
        <w:t>түсетін талапкерлердің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кәсіби-коммуникативтік құзыреттілікт</w:t>
      </w:r>
      <w:r w:rsidR="006F5F72" w:rsidRPr="005A1404">
        <w:rPr>
          <w:rFonts w:ascii="Times New Roman" w:hAnsi="Times New Roman" w:cs="Times New Roman"/>
          <w:sz w:val="28"/>
          <w:szCs w:val="28"/>
          <w:lang w:val="kk-KZ"/>
        </w:rPr>
        <w:t>ерін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>қалыптасуын</w:t>
      </w:r>
      <w:r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тексеруге арналған.</w:t>
      </w:r>
      <w:r w:rsidR="003408F0" w:rsidRPr="005A1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5A14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04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04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404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A1404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:rsidR="00FF2F17" w:rsidRPr="005A1404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40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5A1404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5A1404">
        <w:rPr>
          <w:rFonts w:ascii="Times New Roman" w:hAnsi="Times New Roman" w:cs="Times New Roman"/>
          <w:b/>
          <w:sz w:val="28"/>
          <w:szCs w:val="28"/>
        </w:rPr>
        <w:t>нiң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.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1404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: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FF2F17" w:rsidRPr="005A1404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FF2F17" w:rsidRPr="005A1404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40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A1404">
        <w:rPr>
          <w:rFonts w:ascii="Times New Roman" w:hAnsi="Times New Roman" w:cs="Times New Roman"/>
          <w:b/>
          <w:sz w:val="28"/>
          <w:szCs w:val="28"/>
        </w:rPr>
        <w:t>:</w:t>
      </w:r>
    </w:p>
    <w:p w:rsidR="00FF2F17" w:rsidRPr="005A1404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04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A14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404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5A1404">
        <w:rPr>
          <w:rFonts w:ascii="Times New Roman" w:hAnsi="Times New Roman" w:cs="Times New Roman"/>
          <w:sz w:val="28"/>
          <w:szCs w:val="28"/>
        </w:rPr>
        <w:t>.</w:t>
      </w:r>
    </w:p>
    <w:p w:rsidR="00FF2F17" w:rsidRPr="005A1404" w:rsidRDefault="00FF2F17" w:rsidP="00FF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1404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5A14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A8B" w:rsidRPr="005A1404" w:rsidRDefault="00891A8B" w:rsidP="00891A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1404">
        <w:rPr>
          <w:rFonts w:ascii="Times New Roman" w:eastAsia="Calibri" w:hAnsi="Times New Roman" w:cs="Times New Roman"/>
          <w:sz w:val="28"/>
          <w:szCs w:val="28"/>
          <w:lang w:val="kk-KZ"/>
        </w:rPr>
        <w:t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FF2F17" w:rsidRPr="005A1404" w:rsidRDefault="00FF2F17" w:rsidP="004C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C96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1.Sandra Evans, Angela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Pude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Franz Specht. Menschen A 2.2. Deutsch als Fremdsprache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Lehrerhanbuch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.-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Hueber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München, 2012. 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2. Silke Hilpert, Daniela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Niebisch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Sylvette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Penning-Hiemstra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Angela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Pude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Franz Specht, Monika Reimann, Andreas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Tomaszweski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. Schritte international neu A2.1.-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Hueber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>, München, 2017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3. Silke Hilpert, Daniela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Niebisch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Sylvette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Penning-Hiemstra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Angela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Pude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Franz Specht, Monika Reimann, Andreas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Tomaszweski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. Schritte international neu A2.2.-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Hueber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>, München, 2017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4.Ute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Koithan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>, Helen Schmitz, Tanja Sieber, Ralf Sonntag. Aspekte neu. Mittelstufe Deutsch. B1 plus. –Ernst Klett Sprachen GmbH, Stuttgart, 2017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5. Ute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Koithan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>, Helen Schmitz, Tanja Sieber, Ralf Sonntag. Aspekte neu. Mittelstufe Deutsch. B2.1  –Ernst Klett Sprachen GmbH, Stuttgart, 2017</w:t>
      </w:r>
    </w:p>
    <w:p w:rsidR="00954C96" w:rsidRPr="001E1DAE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de-DE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lastRenderedPageBreak/>
        <w:t xml:space="preserve">6. Ute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Koithan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>, Helen Schmitz, Tanja Sieber, Ralf Sonntag. Aspekte neu. Mittelstufe Deutsch. B2.2  –Ernst Klett Sprachen GmbH, Stuttgart, 2017</w:t>
      </w:r>
    </w:p>
    <w:p w:rsidR="00954C96" w:rsidRDefault="00954C96" w:rsidP="00954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7. Ute </w:t>
      </w:r>
      <w:proofErr w:type="spellStart"/>
      <w:r w:rsidRPr="001E1DAE">
        <w:rPr>
          <w:rFonts w:ascii="Times New Roman" w:eastAsia="Calibri" w:hAnsi="Times New Roman"/>
          <w:sz w:val="28"/>
          <w:szCs w:val="28"/>
          <w:lang w:val="de-DE"/>
        </w:rPr>
        <w:t>Koithan</w:t>
      </w:r>
      <w:proofErr w:type="spell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, Helen Schmitz, Tanja Sieber, Ralf Sonntag. Aspekte neu. </w:t>
      </w:r>
      <w:r w:rsidRPr="001E1DAE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1E1DAE">
        <w:rPr>
          <w:rFonts w:ascii="Times New Roman" w:eastAsia="Calibri" w:hAnsi="Times New Roman"/>
          <w:sz w:val="28"/>
          <w:szCs w:val="28"/>
          <w:lang w:val="de-DE"/>
        </w:rPr>
        <w:t>1</w:t>
      </w:r>
      <w:proofErr w:type="gramEnd"/>
      <w:r w:rsidRPr="001E1DAE">
        <w:rPr>
          <w:rFonts w:ascii="Times New Roman" w:eastAsia="Calibri" w:hAnsi="Times New Roman"/>
          <w:sz w:val="28"/>
          <w:szCs w:val="28"/>
          <w:lang w:val="de-DE"/>
        </w:rPr>
        <w:t xml:space="preserve">  –Ernst Klett Sprachen GmbH, Stuttgart, 2017</w:t>
      </w:r>
    </w:p>
    <w:p w:rsidR="00954C96" w:rsidRDefault="00954C96" w:rsidP="00954C9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954C96" w:rsidSect="00F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E5"/>
    <w:rsid w:val="00036247"/>
    <w:rsid w:val="000614AF"/>
    <w:rsid w:val="000C71DF"/>
    <w:rsid w:val="00127F5F"/>
    <w:rsid w:val="00153009"/>
    <w:rsid w:val="001B046C"/>
    <w:rsid w:val="001B2961"/>
    <w:rsid w:val="001C0CCE"/>
    <w:rsid w:val="001C7858"/>
    <w:rsid w:val="00203200"/>
    <w:rsid w:val="002129B8"/>
    <w:rsid w:val="00240E23"/>
    <w:rsid w:val="002416BE"/>
    <w:rsid w:val="00252D39"/>
    <w:rsid w:val="00256846"/>
    <w:rsid w:val="002C4F33"/>
    <w:rsid w:val="002D6A35"/>
    <w:rsid w:val="002E5ADA"/>
    <w:rsid w:val="002F6D3B"/>
    <w:rsid w:val="003408F0"/>
    <w:rsid w:val="003569B2"/>
    <w:rsid w:val="00365732"/>
    <w:rsid w:val="003D0679"/>
    <w:rsid w:val="003D3BA2"/>
    <w:rsid w:val="003F6F5E"/>
    <w:rsid w:val="00431626"/>
    <w:rsid w:val="0043233F"/>
    <w:rsid w:val="00442268"/>
    <w:rsid w:val="00451194"/>
    <w:rsid w:val="00464F58"/>
    <w:rsid w:val="004661C6"/>
    <w:rsid w:val="00466A89"/>
    <w:rsid w:val="00475887"/>
    <w:rsid w:val="004C3F5F"/>
    <w:rsid w:val="004F1549"/>
    <w:rsid w:val="00535B6C"/>
    <w:rsid w:val="005530AE"/>
    <w:rsid w:val="00590134"/>
    <w:rsid w:val="005A1404"/>
    <w:rsid w:val="005C5900"/>
    <w:rsid w:val="006009E4"/>
    <w:rsid w:val="00601AAF"/>
    <w:rsid w:val="006213DA"/>
    <w:rsid w:val="006A18DD"/>
    <w:rsid w:val="006F5F72"/>
    <w:rsid w:val="00713C6D"/>
    <w:rsid w:val="00736E05"/>
    <w:rsid w:val="007664E7"/>
    <w:rsid w:val="00785608"/>
    <w:rsid w:val="007F463B"/>
    <w:rsid w:val="00820784"/>
    <w:rsid w:val="008405D3"/>
    <w:rsid w:val="008421B6"/>
    <w:rsid w:val="00891A8B"/>
    <w:rsid w:val="008C0115"/>
    <w:rsid w:val="008F1D7A"/>
    <w:rsid w:val="00900860"/>
    <w:rsid w:val="0090692F"/>
    <w:rsid w:val="00930093"/>
    <w:rsid w:val="00954C96"/>
    <w:rsid w:val="009A1DB7"/>
    <w:rsid w:val="009B25F0"/>
    <w:rsid w:val="009E097E"/>
    <w:rsid w:val="00A5005B"/>
    <w:rsid w:val="00A50BDE"/>
    <w:rsid w:val="00A55B09"/>
    <w:rsid w:val="00A620E5"/>
    <w:rsid w:val="00A84E80"/>
    <w:rsid w:val="00A935CA"/>
    <w:rsid w:val="00AB502E"/>
    <w:rsid w:val="00AB7CB7"/>
    <w:rsid w:val="00AC1C7D"/>
    <w:rsid w:val="00AD6CD7"/>
    <w:rsid w:val="00AE411C"/>
    <w:rsid w:val="00AE5C5A"/>
    <w:rsid w:val="00AF100C"/>
    <w:rsid w:val="00AF14BB"/>
    <w:rsid w:val="00B01B0A"/>
    <w:rsid w:val="00B8236C"/>
    <w:rsid w:val="00BE529A"/>
    <w:rsid w:val="00C31CCE"/>
    <w:rsid w:val="00C331E5"/>
    <w:rsid w:val="00C91009"/>
    <w:rsid w:val="00C95F4A"/>
    <w:rsid w:val="00CD3D67"/>
    <w:rsid w:val="00D04D24"/>
    <w:rsid w:val="00D20F81"/>
    <w:rsid w:val="00D31D8E"/>
    <w:rsid w:val="00D51393"/>
    <w:rsid w:val="00D72AD3"/>
    <w:rsid w:val="00DB20BF"/>
    <w:rsid w:val="00DC6BCF"/>
    <w:rsid w:val="00E07908"/>
    <w:rsid w:val="00E56A94"/>
    <w:rsid w:val="00E8343E"/>
    <w:rsid w:val="00EA7AAE"/>
    <w:rsid w:val="00EB39A4"/>
    <w:rsid w:val="00ED696F"/>
    <w:rsid w:val="00EF3968"/>
    <w:rsid w:val="00F13334"/>
    <w:rsid w:val="00F2584B"/>
    <w:rsid w:val="00F303D3"/>
    <w:rsid w:val="00F82E9A"/>
    <w:rsid w:val="00F91E6E"/>
    <w:rsid w:val="00FA3620"/>
    <w:rsid w:val="00FB39B0"/>
    <w:rsid w:val="00FB5A7B"/>
    <w:rsid w:val="00FC3222"/>
    <w:rsid w:val="00FF2F1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6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362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A36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3620"/>
  </w:style>
  <w:style w:type="table" w:styleId="a5">
    <w:name w:val="Table Grid"/>
    <w:basedOn w:val="a1"/>
    <w:uiPriority w:val="59"/>
    <w:rsid w:val="00FA3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A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A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411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3D06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55B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B0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B09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Название Знак"/>
    <w:link w:val="a9"/>
    <w:locked/>
    <w:rsid w:val="00ED696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ED696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D6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rsid w:val="001C0CCE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6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A36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A36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3620"/>
  </w:style>
  <w:style w:type="table" w:styleId="a5">
    <w:name w:val="Table Grid"/>
    <w:basedOn w:val="a1"/>
    <w:uiPriority w:val="59"/>
    <w:rsid w:val="00FA3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A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A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411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3D06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55B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B0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5B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Название Знак"/>
    <w:link w:val="a9"/>
    <w:locked/>
    <w:rsid w:val="00ED696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ED696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D6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Альмира Омарова</cp:lastModifiedBy>
  <cp:revision>124</cp:revision>
  <dcterms:created xsi:type="dcterms:W3CDTF">2018-12-21T05:23:00Z</dcterms:created>
  <dcterms:modified xsi:type="dcterms:W3CDTF">2024-06-05T07:30:00Z</dcterms:modified>
</cp:coreProperties>
</file>